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9D92" w14:textId="77777777" w:rsidR="00644D98" w:rsidRPr="009F5574" w:rsidRDefault="00644D98" w:rsidP="0018321B">
      <w:pPr>
        <w:contextualSpacing/>
        <w:jc w:val="center"/>
        <w:rPr>
          <w:b/>
          <w:sz w:val="28"/>
          <w:szCs w:val="28"/>
        </w:rPr>
      </w:pPr>
      <w:bookmarkStart w:id="0" w:name="_Hlk6494692"/>
      <w:bookmarkStart w:id="1" w:name="_GoBack"/>
      <w:bookmarkEnd w:id="1"/>
      <w:r w:rsidRPr="009F5574">
        <w:rPr>
          <w:b/>
          <w:sz w:val="28"/>
          <w:szCs w:val="28"/>
        </w:rPr>
        <w:t xml:space="preserve"> </w:t>
      </w:r>
      <w:proofErr w:type="gramStart"/>
      <w:r w:rsidRPr="009F5574">
        <w:rPr>
          <w:b/>
          <w:sz w:val="28"/>
          <w:szCs w:val="28"/>
        </w:rPr>
        <w:t>“</w:t>
      </w:r>
      <w:r w:rsidR="00432F8B" w:rsidRPr="009F5574">
        <w:rPr>
          <w:b/>
          <w:sz w:val="28"/>
          <w:szCs w:val="28"/>
        </w:rPr>
        <w:t xml:space="preserve"> </w:t>
      </w:r>
      <w:r w:rsidRPr="009F5574">
        <w:rPr>
          <w:b/>
          <w:sz w:val="28"/>
          <w:szCs w:val="28"/>
        </w:rPr>
        <w:t>La</w:t>
      </w:r>
      <w:proofErr w:type="gramEnd"/>
      <w:r w:rsidRPr="009F5574">
        <w:rPr>
          <w:b/>
          <w:sz w:val="28"/>
          <w:szCs w:val="28"/>
        </w:rPr>
        <w:t xml:space="preserve"> rivoluzione digitale dell’energia: dagli approvvigionamenti, alla distribuzione e al trasporto, fino alla vendita e al rapporto con i clienti finali”</w:t>
      </w:r>
    </w:p>
    <w:bookmarkEnd w:id="0"/>
    <w:p w14:paraId="26F6B378" w14:textId="77777777" w:rsidR="0018321B" w:rsidRDefault="009F5574" w:rsidP="0018321B">
      <w:pPr>
        <w:contextualSpacing/>
        <w:jc w:val="center"/>
        <w:rPr>
          <w:b/>
        </w:rPr>
      </w:pPr>
      <w:r w:rsidRPr="0092388B">
        <w:rPr>
          <w:noProof/>
          <w:lang w:val="en-US"/>
        </w:rPr>
        <w:drawing>
          <wp:inline distT="0" distB="0" distL="0" distR="0" wp14:anchorId="5A1FEBB8" wp14:editId="15A2E83C">
            <wp:extent cx="4705350" cy="3047365"/>
            <wp:effectExtent l="0" t="0" r="0" b="635"/>
            <wp:docPr id="13"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705350" cy="3047365"/>
                    </a:xfrm>
                    <a:prstGeom prst="rect">
                      <a:avLst/>
                    </a:prstGeom>
                  </pic:spPr>
                </pic:pic>
              </a:graphicData>
            </a:graphic>
          </wp:inline>
        </w:drawing>
      </w:r>
      <w:r w:rsidR="00432F8B">
        <w:t xml:space="preserve"> </w:t>
      </w:r>
    </w:p>
    <w:p w14:paraId="614FDCBB" w14:textId="77777777" w:rsidR="009F5574" w:rsidRPr="006E261D" w:rsidRDefault="009F5574" w:rsidP="009F5574">
      <w:pPr>
        <w:jc w:val="center"/>
        <w:rPr>
          <w:b/>
          <w:sz w:val="16"/>
          <w:szCs w:val="16"/>
        </w:rPr>
      </w:pPr>
      <w:r w:rsidRPr="006E261D">
        <w:rPr>
          <w:b/>
          <w:sz w:val="16"/>
          <w:szCs w:val="16"/>
        </w:rPr>
        <w:t xml:space="preserve">Fonte AIDR – G. </w:t>
      </w:r>
      <w:proofErr w:type="spellStart"/>
      <w:r w:rsidRPr="006E261D">
        <w:rPr>
          <w:b/>
          <w:sz w:val="16"/>
          <w:szCs w:val="16"/>
        </w:rPr>
        <w:t>O</w:t>
      </w:r>
      <w:r>
        <w:rPr>
          <w:b/>
          <w:sz w:val="16"/>
          <w:szCs w:val="16"/>
        </w:rPr>
        <w:t>s</w:t>
      </w:r>
      <w:r w:rsidRPr="006E261D">
        <w:rPr>
          <w:b/>
          <w:sz w:val="16"/>
          <w:szCs w:val="16"/>
        </w:rPr>
        <w:t>sino</w:t>
      </w:r>
      <w:proofErr w:type="spellEnd"/>
    </w:p>
    <w:p w14:paraId="4FD3DF7A" w14:textId="77777777" w:rsidR="00432F8B" w:rsidRPr="009217BD" w:rsidRDefault="00432F8B" w:rsidP="00432F8B">
      <w:pPr>
        <w:jc w:val="both"/>
        <w:rPr>
          <w:rFonts w:cstheme="minorHAnsi"/>
          <w:i/>
          <w:color w:val="0070C0"/>
        </w:rPr>
      </w:pPr>
      <w:bookmarkStart w:id="2" w:name="_Hlk6496515"/>
      <w:r w:rsidRPr="009217BD">
        <w:rPr>
          <w:rFonts w:cstheme="minorHAnsi"/>
          <w:i/>
          <w:color w:val="0070C0"/>
        </w:rPr>
        <w:t xml:space="preserve">Lo scopo dell’incontro è quello di fare un punto </w:t>
      </w:r>
      <w:r>
        <w:rPr>
          <w:rFonts w:cstheme="minorHAnsi"/>
          <w:i/>
          <w:color w:val="0070C0"/>
        </w:rPr>
        <w:t>su</w:t>
      </w:r>
      <w:r w:rsidRPr="009217BD">
        <w:rPr>
          <w:rFonts w:cstheme="minorHAnsi"/>
          <w:i/>
          <w:color w:val="0070C0"/>
        </w:rPr>
        <w:t>lla situazione e trattare le</w:t>
      </w:r>
      <w:r>
        <w:rPr>
          <w:rFonts w:cstheme="minorHAnsi"/>
          <w:i/>
          <w:color w:val="0070C0"/>
        </w:rPr>
        <w:t xml:space="preserve"> estens</w:t>
      </w:r>
      <w:r w:rsidRPr="009217BD">
        <w:rPr>
          <w:rFonts w:cstheme="minorHAnsi"/>
          <w:i/>
          <w:color w:val="0070C0"/>
        </w:rPr>
        <w:t xml:space="preserve">ioni che l’idea di </w:t>
      </w:r>
      <w:bookmarkStart w:id="3" w:name="_Hlk6483887"/>
      <w:r w:rsidRPr="009217BD">
        <w:rPr>
          <w:rFonts w:cstheme="minorHAnsi"/>
          <w:i/>
          <w:color w:val="0070C0"/>
        </w:rPr>
        <w:t xml:space="preserve">SMART-ENERGY </w:t>
      </w:r>
      <w:bookmarkEnd w:id="3"/>
      <w:r w:rsidRPr="009217BD">
        <w:rPr>
          <w:rFonts w:cstheme="minorHAnsi"/>
          <w:i/>
          <w:color w:val="0070C0"/>
        </w:rPr>
        <w:t>implica, prime tra tutte la sicurezza</w:t>
      </w:r>
      <w:r>
        <w:rPr>
          <w:rFonts w:cstheme="minorHAnsi"/>
          <w:i/>
          <w:color w:val="0070C0"/>
        </w:rPr>
        <w:t xml:space="preserve"> e continuità del servizio, ivi inclusa quella del cyber-</w:t>
      </w:r>
      <w:proofErr w:type="spellStart"/>
      <w:r>
        <w:rPr>
          <w:rFonts w:cstheme="minorHAnsi"/>
          <w:i/>
          <w:color w:val="0070C0"/>
        </w:rPr>
        <w:t>space</w:t>
      </w:r>
      <w:proofErr w:type="spellEnd"/>
      <w:r>
        <w:rPr>
          <w:rFonts w:cstheme="minorHAnsi"/>
          <w:i/>
          <w:color w:val="0070C0"/>
        </w:rPr>
        <w:t xml:space="preserve"> utilizzato</w:t>
      </w:r>
      <w:r w:rsidRPr="009217BD">
        <w:rPr>
          <w:rFonts w:cstheme="minorHAnsi"/>
          <w:i/>
          <w:color w:val="0070C0"/>
        </w:rPr>
        <w:t>. La pervasività de</w:t>
      </w:r>
      <w:r>
        <w:rPr>
          <w:rFonts w:cstheme="minorHAnsi"/>
          <w:i/>
          <w:color w:val="0070C0"/>
        </w:rPr>
        <w:t>l</w:t>
      </w:r>
      <w:r w:rsidRPr="009217BD">
        <w:rPr>
          <w:rFonts w:cstheme="minorHAnsi"/>
          <w:i/>
          <w:color w:val="0070C0"/>
        </w:rPr>
        <w:t xml:space="preserve"> concetto SMART-ENERGY</w:t>
      </w:r>
      <w:r>
        <w:rPr>
          <w:rFonts w:cstheme="minorHAnsi"/>
          <w:i/>
          <w:color w:val="0070C0"/>
        </w:rPr>
        <w:t>,</w:t>
      </w:r>
      <w:r w:rsidRPr="009217BD">
        <w:rPr>
          <w:rFonts w:cstheme="minorHAnsi"/>
          <w:i/>
          <w:color w:val="0070C0"/>
        </w:rPr>
        <w:t xml:space="preserve"> se da un lato è rivolta all’efficientamento attraverso digitalizzazione/IT, dall’altra deve produrre un concreto risultato. Per</w:t>
      </w:r>
      <w:r>
        <w:rPr>
          <w:rFonts w:cstheme="minorHAnsi"/>
          <w:i/>
          <w:color w:val="0070C0"/>
        </w:rPr>
        <w:t xml:space="preserve"> </w:t>
      </w:r>
      <w:r w:rsidRPr="009217BD">
        <w:rPr>
          <w:rFonts w:cstheme="minorHAnsi"/>
          <w:i/>
          <w:color w:val="0070C0"/>
        </w:rPr>
        <w:t>esempio, la decongestione e il miglioramento a tutto campo, dei trasporti, dei pubblici servizi ed uffici, degli acquisti</w:t>
      </w:r>
      <w:r>
        <w:rPr>
          <w:rFonts w:cstheme="minorHAnsi"/>
          <w:i/>
          <w:color w:val="0070C0"/>
        </w:rPr>
        <w:t>, delle città</w:t>
      </w:r>
      <w:r w:rsidRPr="009217BD">
        <w:rPr>
          <w:rFonts w:cstheme="minorHAnsi"/>
          <w:i/>
          <w:color w:val="0070C0"/>
        </w:rPr>
        <w:t xml:space="preserve"> e così via dicendo, mirando ad un imprescindibile innalzamento della qualità della vita e della sostenibilità per l’ambiente e le risorse disponibili.</w:t>
      </w:r>
    </w:p>
    <w:p w14:paraId="0E313A98" w14:textId="77777777" w:rsidR="00432F8B" w:rsidRPr="009217BD" w:rsidRDefault="00432F8B" w:rsidP="00432F8B">
      <w:pPr>
        <w:jc w:val="both"/>
        <w:rPr>
          <w:rFonts w:cstheme="minorHAnsi"/>
          <w:i/>
          <w:color w:val="0070C0"/>
        </w:rPr>
      </w:pPr>
      <w:r w:rsidRPr="009217BD">
        <w:rPr>
          <w:rFonts w:cstheme="minorHAnsi"/>
          <w:i/>
          <w:color w:val="0070C0"/>
        </w:rPr>
        <w:t xml:space="preserve"> Le reti di trasmissione, distribuzione e consumo di energia, nonché quelle di comunicazione,</w:t>
      </w:r>
      <w:r>
        <w:rPr>
          <w:rFonts w:cstheme="minorHAnsi"/>
          <w:i/>
          <w:color w:val="0070C0"/>
        </w:rPr>
        <w:t xml:space="preserve"> </w:t>
      </w:r>
      <w:r w:rsidRPr="009217BD">
        <w:rPr>
          <w:rFonts w:cstheme="minorHAnsi"/>
          <w:i/>
          <w:color w:val="0070C0"/>
        </w:rPr>
        <w:t>monitoraggio, segnalazione, comando e controllo dei sistemi connessi sono divenute occasione per spingere sui processi di informatizzazione e digitalizzazione del nostro Paese. Tali reti sembrano essere il punto focale della transizione energetica in atto</w:t>
      </w:r>
      <w:r>
        <w:rPr>
          <w:rFonts w:cstheme="minorHAnsi"/>
          <w:i/>
          <w:color w:val="0070C0"/>
        </w:rPr>
        <w:t>,</w:t>
      </w:r>
      <w:r w:rsidRPr="009217BD">
        <w:rPr>
          <w:rFonts w:cstheme="minorHAnsi"/>
          <w:i/>
          <w:color w:val="0070C0"/>
        </w:rPr>
        <w:t xml:space="preserve"> volta alla decarbonizzazione e alla sostenibilità attraverso le rinnovabili. Necessita</w:t>
      </w:r>
      <w:r w:rsidR="007F72F9">
        <w:rPr>
          <w:rFonts w:cstheme="minorHAnsi"/>
          <w:i/>
          <w:color w:val="0070C0"/>
        </w:rPr>
        <w:t>,</w:t>
      </w:r>
      <w:r w:rsidRPr="009217BD">
        <w:rPr>
          <w:rFonts w:cstheme="minorHAnsi"/>
          <w:i/>
          <w:color w:val="0070C0"/>
        </w:rPr>
        <w:t xml:space="preserve"> però</w:t>
      </w:r>
      <w:r w:rsidR="007F72F9">
        <w:rPr>
          <w:rFonts w:cstheme="minorHAnsi"/>
          <w:i/>
          <w:color w:val="0070C0"/>
        </w:rPr>
        <w:t>,</w:t>
      </w:r>
      <w:r w:rsidRPr="009217BD">
        <w:rPr>
          <w:rFonts w:cstheme="minorHAnsi"/>
          <w:i/>
          <w:color w:val="0070C0"/>
        </w:rPr>
        <w:t xml:space="preserve"> consapevolezza che fonti fossili e nucleari debbano ancora contribuire, specie globalmente, ad un mix ottimale localmente determinato, in un contesto in cui si punti a maggiore resilienza dei sistemi energetici in situazion</w:t>
      </w:r>
      <w:r w:rsidR="007F72F9">
        <w:rPr>
          <w:rFonts w:cstheme="minorHAnsi"/>
          <w:i/>
          <w:color w:val="0070C0"/>
        </w:rPr>
        <w:t>i</w:t>
      </w:r>
      <w:r w:rsidRPr="009217BD">
        <w:rPr>
          <w:rFonts w:cstheme="minorHAnsi"/>
          <w:i/>
          <w:color w:val="0070C0"/>
        </w:rPr>
        <w:t xml:space="preserve"> estreme inevitabili; siano esse, eventi naturali (sismici, metereologici, geologici, ecc.) oppure determinati dall’uomo (errori, </w:t>
      </w:r>
      <w:proofErr w:type="spellStart"/>
      <w:r w:rsidRPr="009217BD">
        <w:rPr>
          <w:rFonts w:cstheme="minorHAnsi"/>
          <w:i/>
          <w:color w:val="0070C0"/>
        </w:rPr>
        <w:t>hackeraggio</w:t>
      </w:r>
      <w:proofErr w:type="spellEnd"/>
      <w:r w:rsidRPr="009217BD">
        <w:rPr>
          <w:rFonts w:cstheme="minorHAnsi"/>
          <w:i/>
          <w:color w:val="0070C0"/>
        </w:rPr>
        <w:t>, attacchi terroristici, conflitti armati, etc.). S’impone quindi una progettualità anche nella previsione e contenimento del danno e nel rapido ripristino dei sistemi che garantiscano la continuità del servizio in situazioni avverse, anche fidando in una interconnessione e in un continuo scambio transfrontaliero a livello europeo. Dovendo coniugare insieme robustezza, adeguatezza, resilienza, flessibilità e sicurezza operativa, si parla di sistemi intelligenti realizzati attraverso tecnologie innovative e ciò può dare la dimensione della complessità del sistema energetico complessivo, che come un unico apparato deve garantire il servizio elettrico su aree di dimensioni continentali per milioni di utenti.</w:t>
      </w:r>
    </w:p>
    <w:p w14:paraId="11A18295" w14:textId="77777777" w:rsidR="00432F8B" w:rsidRPr="009217BD" w:rsidRDefault="00432F8B" w:rsidP="00432F8B">
      <w:pPr>
        <w:jc w:val="both"/>
        <w:rPr>
          <w:rFonts w:cstheme="minorHAnsi"/>
          <w:i/>
          <w:color w:val="0070C0"/>
        </w:rPr>
      </w:pPr>
      <w:r w:rsidRPr="009217BD">
        <w:rPr>
          <w:rFonts w:cstheme="minorHAnsi"/>
          <w:i/>
          <w:color w:val="0070C0"/>
        </w:rPr>
        <w:t>Una valutazione e pianificazione delle azioni necessarie nel nostro Paese sono contenute nel PNIEC in via di approvazione, ma una analisi critica di aspetti più tipicamente locali e caratteristici della situazione italiana non può essere a nostro avviso sottaciuta. E questo incontro appare l’occasione adatta per farlo.</w:t>
      </w:r>
    </w:p>
    <w:p w14:paraId="7C1B4BCB" w14:textId="77777777" w:rsidR="00432F8B" w:rsidRDefault="00432F8B" w:rsidP="00432F8B">
      <w:pPr>
        <w:jc w:val="center"/>
      </w:pPr>
      <w:bookmarkStart w:id="4" w:name="_Hlk6495771"/>
      <w:bookmarkEnd w:id="2"/>
    </w:p>
    <w:bookmarkEnd w:id="4"/>
    <w:p w14:paraId="3E379764" w14:textId="77777777" w:rsidR="00644D98" w:rsidRDefault="00644D98" w:rsidP="00432F8B">
      <w:pPr>
        <w:contextualSpacing/>
        <w:jc w:val="center"/>
      </w:pPr>
    </w:p>
    <w:p w14:paraId="75B7BFDA" w14:textId="77777777" w:rsidR="006E261D" w:rsidRPr="00C44FAA" w:rsidRDefault="006E261D" w:rsidP="006E261D">
      <w:pPr>
        <w:contextualSpacing/>
        <w:jc w:val="center"/>
      </w:pPr>
    </w:p>
    <w:p w14:paraId="2547F6F2" w14:textId="77777777" w:rsidR="00E601F4" w:rsidRDefault="006E261D" w:rsidP="00FB11FB">
      <w:pPr>
        <w:jc w:val="center"/>
        <w:rPr>
          <w:b/>
          <w:u w:val="single"/>
        </w:rPr>
      </w:pPr>
      <w:r w:rsidRPr="006E261D">
        <w:rPr>
          <w:b/>
          <w:noProof/>
          <w:sz w:val="16"/>
          <w:szCs w:val="16"/>
          <w:lang w:val="en-US"/>
        </w:rPr>
        <w:drawing>
          <wp:anchor distT="0" distB="0" distL="114300" distR="114300" simplePos="0" relativeHeight="251659264" behindDoc="0" locked="0" layoutInCell="1" allowOverlap="1" wp14:anchorId="25B3F8FA" wp14:editId="0463449F">
            <wp:simplePos x="0" y="0"/>
            <wp:positionH relativeFrom="column">
              <wp:posOffset>0</wp:posOffset>
            </wp:positionH>
            <wp:positionV relativeFrom="paragraph">
              <wp:posOffset>0</wp:posOffset>
            </wp:positionV>
            <wp:extent cx="6120130" cy="3784600"/>
            <wp:effectExtent l="0" t="0" r="0" b="6350"/>
            <wp:wrapSquare wrapText="bothSides"/>
            <wp:docPr id="4" name="Segnaposto contenuto 3">
              <a:extLst xmlns:a="http://schemas.openxmlformats.org/drawingml/2006/main">
                <a:ext uri="{FF2B5EF4-FFF2-40B4-BE49-F238E27FC236}">
                  <a16:creationId xmlns:a16="http://schemas.microsoft.com/office/drawing/2014/main" id="{348917A1-C2D0-4F7D-A054-7169A14836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egnaposto contenuto 3">
                      <a:extLst>
                        <a:ext uri="{FF2B5EF4-FFF2-40B4-BE49-F238E27FC236}">
                          <a16:creationId xmlns:a16="http://schemas.microsoft.com/office/drawing/2014/main" id="{348917A1-C2D0-4F7D-A054-7169A148364B}"/>
                        </a:ext>
                      </a:extLst>
                    </pic:cNvPr>
                    <pic:cNvPicPr>
                      <a:picLocks noGrp="1" noChangeAspect="1"/>
                    </pic:cNvPicPr>
                  </pic:nvPicPr>
                  <pic:blipFill>
                    <a:blip r:embed="rId8"/>
                    <a:stretch>
                      <a:fillRect/>
                    </a:stretch>
                  </pic:blipFill>
                  <pic:spPr>
                    <a:xfrm>
                      <a:off x="0" y="0"/>
                      <a:ext cx="6120130" cy="3784600"/>
                    </a:xfrm>
                    <a:prstGeom prst="rect">
                      <a:avLst/>
                    </a:prstGeom>
                  </pic:spPr>
                </pic:pic>
              </a:graphicData>
            </a:graphic>
          </wp:anchor>
        </w:drawing>
      </w:r>
      <w:bookmarkStart w:id="5" w:name="_Hlk6495950"/>
      <w:r w:rsidRPr="006E261D">
        <w:rPr>
          <w:b/>
          <w:sz w:val="16"/>
          <w:szCs w:val="16"/>
        </w:rPr>
        <w:t xml:space="preserve">Fonte: Rapporto </w:t>
      </w:r>
      <w:proofErr w:type="spellStart"/>
      <w:r w:rsidRPr="006E261D">
        <w:rPr>
          <w:b/>
          <w:sz w:val="16"/>
          <w:szCs w:val="16"/>
        </w:rPr>
        <w:t>Federmanager</w:t>
      </w:r>
      <w:proofErr w:type="spellEnd"/>
      <w:r w:rsidRPr="006E261D">
        <w:rPr>
          <w:b/>
          <w:sz w:val="16"/>
          <w:szCs w:val="16"/>
        </w:rPr>
        <w:t xml:space="preserve"> 2019</w:t>
      </w:r>
      <w:r w:rsidRPr="006E261D">
        <w:rPr>
          <w:b/>
          <w:u w:val="single"/>
        </w:rPr>
        <w:t xml:space="preserve"> </w:t>
      </w:r>
      <w:bookmarkEnd w:id="5"/>
    </w:p>
    <w:p w14:paraId="54D9795B" w14:textId="77777777" w:rsidR="0094122F" w:rsidRDefault="0094122F" w:rsidP="00FB11FB">
      <w:pPr>
        <w:jc w:val="center"/>
        <w:rPr>
          <w:b/>
          <w:u w:val="single"/>
        </w:rPr>
      </w:pPr>
      <w:r>
        <w:rPr>
          <w:noProof/>
          <w:lang w:val="en-US"/>
        </w:rPr>
        <w:drawing>
          <wp:anchor distT="0" distB="0" distL="114300" distR="114300" simplePos="0" relativeHeight="251661312" behindDoc="0" locked="0" layoutInCell="1" allowOverlap="1" wp14:anchorId="6F4C4B45" wp14:editId="5CF08928">
            <wp:simplePos x="0" y="0"/>
            <wp:positionH relativeFrom="column">
              <wp:posOffset>3175</wp:posOffset>
            </wp:positionH>
            <wp:positionV relativeFrom="paragraph">
              <wp:posOffset>280670</wp:posOffset>
            </wp:positionV>
            <wp:extent cx="6141720" cy="29622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1720" cy="2962275"/>
                    </a:xfrm>
                    <a:prstGeom prst="rect">
                      <a:avLst/>
                    </a:prstGeom>
                  </pic:spPr>
                </pic:pic>
              </a:graphicData>
            </a:graphic>
            <wp14:sizeRelH relativeFrom="margin">
              <wp14:pctWidth>0</wp14:pctWidth>
            </wp14:sizeRelH>
            <wp14:sizeRelV relativeFrom="margin">
              <wp14:pctHeight>0</wp14:pctHeight>
            </wp14:sizeRelV>
          </wp:anchor>
        </w:drawing>
      </w:r>
    </w:p>
    <w:p w14:paraId="361170ED" w14:textId="77777777" w:rsidR="00D852A3" w:rsidRPr="00FB11FB" w:rsidRDefault="00432F8B" w:rsidP="00FB11FB">
      <w:pPr>
        <w:jc w:val="center"/>
        <w:rPr>
          <w:b/>
          <w:u w:val="single"/>
        </w:rPr>
      </w:pPr>
      <w:r>
        <w:rPr>
          <w:b/>
          <w:u w:val="single"/>
        </w:rPr>
        <w:br w:type="column"/>
      </w:r>
      <w:r w:rsidR="00FB11FB" w:rsidRPr="00FB11FB">
        <w:rPr>
          <w:b/>
          <w:u w:val="single"/>
        </w:rPr>
        <w:lastRenderedPageBreak/>
        <w:t>Relazione dell’Associazione Ambiente e Società</w:t>
      </w:r>
      <w:r w:rsidR="007F72F9">
        <w:rPr>
          <w:b/>
          <w:u w:val="single"/>
        </w:rPr>
        <w:t xml:space="preserve"> per il Convegno:</w:t>
      </w:r>
    </w:p>
    <w:p w14:paraId="5625F7E8" w14:textId="77777777" w:rsidR="007F72F9" w:rsidRPr="007F72F9" w:rsidRDefault="007F72F9" w:rsidP="007F72F9">
      <w:pPr>
        <w:jc w:val="center"/>
        <w:rPr>
          <w:b/>
        </w:rPr>
      </w:pPr>
      <w:r w:rsidRPr="007F72F9">
        <w:rPr>
          <w:b/>
        </w:rPr>
        <w:t>La rivoluzione digitale dell’energia: dagli approvvigionamenti, alla distribuzione e al trasporto, fino alla vendita e al rapporto con i clienti finali</w:t>
      </w:r>
    </w:p>
    <w:p w14:paraId="09A467E3" w14:textId="77777777" w:rsidR="003156F7" w:rsidRPr="00C44FAA" w:rsidRDefault="003156F7" w:rsidP="00E72967">
      <w:pPr>
        <w:jc w:val="both"/>
      </w:pPr>
      <w:r w:rsidRPr="00C44FAA">
        <w:t>Le reti di comunicazione, trasmissione, distribuzione e consumo di energia</w:t>
      </w:r>
      <w:r w:rsidR="005503EF" w:rsidRPr="00C44FAA">
        <w:t>, nonché quelle di monitoraggio, segnalazione, comando e controllo dei sistemi connessi</w:t>
      </w:r>
      <w:r w:rsidR="00395AA0" w:rsidRPr="00C44FAA">
        <w:t xml:space="preserve"> sono divenute occasione per spingere sui processi di informatizzazione e digitalizzazione del nostro Paese. Tali reti</w:t>
      </w:r>
      <w:r w:rsidRPr="00C44FAA">
        <w:t xml:space="preserve"> </w:t>
      </w:r>
      <w:r w:rsidR="005503EF" w:rsidRPr="00C44FAA">
        <w:t>sembrano essere</w:t>
      </w:r>
      <w:r w:rsidRPr="00C44FAA">
        <w:t xml:space="preserve"> il punto focale della transizione energetica in atto volta alla decarbonizzazione e alla sostenibilità attraverso le rinnovabili</w:t>
      </w:r>
      <w:r w:rsidR="005503EF" w:rsidRPr="00C44FAA">
        <w:t>. Necessita però</w:t>
      </w:r>
      <w:r w:rsidRPr="00C44FAA">
        <w:t xml:space="preserve"> consapevolezza che fonti fossili e nucleari</w:t>
      </w:r>
      <w:r w:rsidR="008333C5" w:rsidRPr="00C44FAA">
        <w:t xml:space="preserve"> </w:t>
      </w:r>
      <w:r w:rsidRPr="00C44FAA">
        <w:t>debbano ancora contribuire</w:t>
      </w:r>
      <w:r w:rsidR="008333C5" w:rsidRPr="00C44FAA">
        <w:t xml:space="preserve">, specie globalmente, </w:t>
      </w:r>
      <w:r w:rsidRPr="00C44FAA">
        <w:t>ad un mix ottimale</w:t>
      </w:r>
      <w:r w:rsidR="00E72967" w:rsidRPr="00C44FAA">
        <w:t xml:space="preserve"> localmente</w:t>
      </w:r>
      <w:r w:rsidR="005503EF" w:rsidRPr="00C44FAA">
        <w:t xml:space="preserve"> determinato</w:t>
      </w:r>
      <w:r w:rsidR="00395AA0" w:rsidRPr="00C44FAA">
        <w:t>,</w:t>
      </w:r>
      <w:r w:rsidR="005503EF" w:rsidRPr="00C44FAA">
        <w:t xml:space="preserve"> in un contesto in cui si punti a maggiore resilienza dei sistemi energetici </w:t>
      </w:r>
      <w:r w:rsidR="00E72967" w:rsidRPr="00C44FAA">
        <w:t>in</w:t>
      </w:r>
      <w:r w:rsidR="005503EF" w:rsidRPr="00C44FAA">
        <w:t xml:space="preserve"> situazion</w:t>
      </w:r>
      <w:r w:rsidR="000B1310">
        <w:t>i</w:t>
      </w:r>
      <w:r w:rsidR="005503EF" w:rsidRPr="00C44FAA">
        <w:t xml:space="preserve"> estreme</w:t>
      </w:r>
      <w:r w:rsidR="00395AA0" w:rsidRPr="00C44FAA">
        <w:t xml:space="preserve"> inevitabili;</w:t>
      </w:r>
      <w:r w:rsidR="005503EF" w:rsidRPr="00C44FAA">
        <w:t xml:space="preserve"> siano esse, eventi naturali (sismici, meter</w:t>
      </w:r>
      <w:r w:rsidR="00395AA0" w:rsidRPr="00C44FAA">
        <w:t>e</w:t>
      </w:r>
      <w:r w:rsidR="005503EF" w:rsidRPr="00C44FAA">
        <w:t xml:space="preserve">ologici, </w:t>
      </w:r>
      <w:r w:rsidR="00395AA0" w:rsidRPr="00C44FAA">
        <w:t>geologici, ecc.</w:t>
      </w:r>
      <w:r w:rsidR="005503EF" w:rsidRPr="00C44FAA">
        <w:t>) oppure determinati dall’uomo (</w:t>
      </w:r>
      <w:r w:rsidR="00E72967" w:rsidRPr="00C44FAA">
        <w:t xml:space="preserve">errori, </w:t>
      </w:r>
      <w:proofErr w:type="spellStart"/>
      <w:r w:rsidR="00395AA0" w:rsidRPr="00C44FAA">
        <w:t>hackeraggio</w:t>
      </w:r>
      <w:proofErr w:type="spellEnd"/>
      <w:r w:rsidR="00395AA0" w:rsidRPr="00C44FAA">
        <w:t xml:space="preserve">, attacchi terroristici, conflitti armati, etc.). </w:t>
      </w:r>
      <w:r w:rsidR="008333C5" w:rsidRPr="00C44FAA">
        <w:t>S’impone</w:t>
      </w:r>
      <w:r w:rsidR="00395AA0" w:rsidRPr="00C44FAA">
        <w:t xml:space="preserve"> quindi una progettualità anche nella previsione e contenimento del danno e ne</w:t>
      </w:r>
      <w:r w:rsidR="00FB44E5" w:rsidRPr="00C44FAA">
        <w:t>l rapido ripristino dei sistemi che garantiscano la continuità del servizio in situazioni avverse, anche fidando in una interconnessione e in un continuo scambio</w:t>
      </w:r>
      <w:r w:rsidR="00E72967" w:rsidRPr="00C44FAA">
        <w:t xml:space="preserve"> transfrontaliero</w:t>
      </w:r>
      <w:r w:rsidR="00FB44E5" w:rsidRPr="00C44FAA">
        <w:t xml:space="preserve"> a livello europeo. </w:t>
      </w:r>
      <w:r w:rsidR="00E72967" w:rsidRPr="00C44FAA">
        <w:t>Dovendo coniugare insieme robustezza, adeguatezza, resilienza, flessibilità e sicurezza operativa, s</w:t>
      </w:r>
      <w:r w:rsidR="00FB44E5" w:rsidRPr="00C44FAA">
        <w:t xml:space="preserve">i parla di sistemi intelligenti realizzati attraverso tecnologie innovative </w:t>
      </w:r>
      <w:r w:rsidR="00E72967" w:rsidRPr="00C44FAA">
        <w:t>e ciò può dare la dimensione della complessità del sistema energetico complessivo, che come un unico apparato deve garantire il servizio elettrico su aree di dimensioni continentali per milioni di utenti.</w:t>
      </w:r>
    </w:p>
    <w:p w14:paraId="03321276" w14:textId="77777777" w:rsidR="00721726" w:rsidRPr="00C44FAA" w:rsidRDefault="00483A4B" w:rsidP="00C12469">
      <w:pPr>
        <w:jc w:val="both"/>
      </w:pPr>
      <w:r w:rsidRPr="00C44FAA">
        <w:t xml:space="preserve">Una </w:t>
      </w:r>
      <w:r w:rsidR="00721726" w:rsidRPr="00C44FAA">
        <w:t>valuta</w:t>
      </w:r>
      <w:r w:rsidR="00FE012E" w:rsidRPr="00C44FAA">
        <w:t>z</w:t>
      </w:r>
      <w:r w:rsidR="00721726" w:rsidRPr="00C44FAA">
        <w:t>ione</w:t>
      </w:r>
      <w:r w:rsidRPr="00C44FAA">
        <w:t xml:space="preserve"> e pianificazione delle azioni necessarie nel nostro Paese sono contenute nel PNIEC in via di approvazione, ma una analisi critica di aspetti più tipicamente locali e caratteristici della situazione italiana non può essere </w:t>
      </w:r>
      <w:r w:rsidR="005333F0" w:rsidRPr="00C44FAA">
        <w:t>a nostro avviso sottaciuta</w:t>
      </w:r>
      <w:r w:rsidRPr="00C44FAA">
        <w:t>.</w:t>
      </w:r>
      <w:r w:rsidR="00721726" w:rsidRPr="00C44FAA">
        <w:t xml:space="preserve"> </w:t>
      </w:r>
      <w:r w:rsidR="00FB11FB" w:rsidRPr="00C44FAA">
        <w:t>E questo incontro appare l’occasione adatta per farlo.</w:t>
      </w:r>
    </w:p>
    <w:p w14:paraId="32FAE5AD" w14:textId="77777777" w:rsidR="005333F0" w:rsidRDefault="00721726" w:rsidP="00C12469">
      <w:pPr>
        <w:jc w:val="both"/>
        <w:rPr>
          <w:rFonts w:ascii="Calibri" w:hAnsi="Calibri" w:cs="Calibri"/>
        </w:rPr>
      </w:pPr>
      <w:r>
        <w:t>Occorre, però, prima sottolineare che l</w:t>
      </w:r>
      <w:r>
        <w:rPr>
          <w:rFonts w:ascii="Calibri" w:hAnsi="Calibri" w:cs="Calibri"/>
        </w:rPr>
        <w:t>a scoperta dei rischi di cui oggi si parla non è nuova. Ad esempio, non a caso Enel aveva sviluppato</w:t>
      </w:r>
      <w:r w:rsidR="00FE012E">
        <w:rPr>
          <w:rFonts w:ascii="Calibri" w:hAnsi="Calibri" w:cs="Calibri"/>
        </w:rPr>
        <w:t xml:space="preserve"> già prima della liberalizzazione</w:t>
      </w:r>
      <w:r>
        <w:rPr>
          <w:rFonts w:ascii="Calibri" w:hAnsi="Calibri" w:cs="Calibri"/>
        </w:rPr>
        <w:t xml:space="preserve"> una sua propria rete di comunicazione aziendale che poi, in sede politica, si è preferito alienare per motivi di cassa attraverso la formazione e vendita di Wind. Una ripresa in considerazione di aspetti salienti che rappresent</w:t>
      </w:r>
      <w:r w:rsidR="00FE012E">
        <w:rPr>
          <w:rFonts w:ascii="Calibri" w:hAnsi="Calibri" w:cs="Calibri"/>
        </w:rPr>
        <w:t>i</w:t>
      </w:r>
      <w:r>
        <w:rPr>
          <w:rFonts w:ascii="Calibri" w:hAnsi="Calibri" w:cs="Calibri"/>
        </w:rPr>
        <w:t>no il substrato su cui si possa</w:t>
      </w:r>
      <w:r w:rsidR="00FE012E">
        <w:rPr>
          <w:rFonts w:ascii="Calibri" w:hAnsi="Calibri" w:cs="Calibri"/>
        </w:rPr>
        <w:t xml:space="preserve"> poi</w:t>
      </w:r>
      <w:r>
        <w:rPr>
          <w:rFonts w:ascii="Calibri" w:hAnsi="Calibri" w:cs="Calibri"/>
        </w:rPr>
        <w:t xml:space="preserve"> innestare </w:t>
      </w:r>
      <w:r w:rsidR="00FE012E">
        <w:rPr>
          <w:rFonts w:ascii="Calibri" w:hAnsi="Calibri" w:cs="Calibri"/>
        </w:rPr>
        <w:t>il concetto di SMART ENERGY è obbligata.</w:t>
      </w:r>
      <w:r w:rsidR="00C96939">
        <w:rPr>
          <w:rFonts w:ascii="Calibri" w:hAnsi="Calibri" w:cs="Calibri"/>
        </w:rPr>
        <w:t xml:space="preserve"> I seguenti sono solo alcuni esempi per stimolare la nostra riflessione:</w:t>
      </w:r>
    </w:p>
    <w:p w14:paraId="5E49E927" w14:textId="77777777" w:rsidR="00721726" w:rsidRDefault="00721726" w:rsidP="00C12469">
      <w:pPr>
        <w:pStyle w:val="Paragrafoelenco"/>
        <w:numPr>
          <w:ilvl w:val="0"/>
          <w:numId w:val="1"/>
        </w:numPr>
        <w:jc w:val="both"/>
        <w:rPr>
          <w:rFonts w:eastAsia="Times New Roman"/>
        </w:rPr>
      </w:pPr>
      <w:r>
        <w:rPr>
          <w:rFonts w:eastAsia="Times New Roman"/>
          <w:b/>
          <w:bCs/>
        </w:rPr>
        <w:t>PRODUZIONE</w:t>
      </w:r>
      <w:r>
        <w:rPr>
          <w:rFonts w:eastAsia="Times New Roman"/>
        </w:rPr>
        <w:t xml:space="preserve">: </w:t>
      </w:r>
      <w:r w:rsidR="00FE012E">
        <w:rPr>
          <w:rFonts w:eastAsia="Times New Roman"/>
        </w:rPr>
        <w:t>L</w:t>
      </w:r>
      <w:r>
        <w:rPr>
          <w:rFonts w:eastAsia="Times New Roman"/>
        </w:rPr>
        <w:t xml:space="preserve">a necessità di una sicurezza degli approvvigionamenti in senso lato (non solo approvvigionamenti da fonti primarie fossili (che saranno ancora necessari), ma anche di </w:t>
      </w:r>
      <w:r w:rsidR="00083DFF">
        <w:rPr>
          <w:rFonts w:eastAsia="Times New Roman"/>
        </w:rPr>
        <w:t xml:space="preserve">componenti e sistemi quali ad esempio </w:t>
      </w:r>
      <w:r>
        <w:rPr>
          <w:rFonts w:eastAsia="Times New Roman"/>
        </w:rPr>
        <w:t>pannelli fotovoltaici e generatori eolici.</w:t>
      </w:r>
      <w:r w:rsidR="00C96939">
        <w:rPr>
          <w:rFonts w:eastAsia="Times New Roman"/>
        </w:rPr>
        <w:t xml:space="preserve"> Chiediamoci se si tratta di </w:t>
      </w:r>
      <w:r>
        <w:rPr>
          <w:rFonts w:eastAsia="Times New Roman"/>
        </w:rPr>
        <w:t>tecnologia</w:t>
      </w:r>
      <w:r w:rsidR="00C96939">
        <w:rPr>
          <w:rFonts w:eastAsia="Times New Roman"/>
        </w:rPr>
        <w:t xml:space="preserve"> </w:t>
      </w:r>
      <w:r>
        <w:rPr>
          <w:rFonts w:eastAsia="Times New Roman"/>
        </w:rPr>
        <w:t xml:space="preserve"> che possediamo</w:t>
      </w:r>
      <w:r w:rsidR="00C96939">
        <w:rPr>
          <w:rFonts w:eastAsia="Times New Roman"/>
        </w:rPr>
        <w:t xml:space="preserve"> (pale aereogeneratori, </w:t>
      </w:r>
      <w:r w:rsidR="00C96939" w:rsidRPr="00C96939">
        <w:rPr>
          <w:rFonts w:eastAsia="Times New Roman"/>
        </w:rPr>
        <w:t xml:space="preserve"> </w:t>
      </w:r>
      <w:r w:rsidR="00C96939">
        <w:rPr>
          <w:rFonts w:eastAsia="Times New Roman"/>
        </w:rPr>
        <w:t>pannelli, silicio/film organici/etc.)</w:t>
      </w:r>
      <w:r>
        <w:rPr>
          <w:rFonts w:eastAsia="Times New Roman"/>
        </w:rPr>
        <w:t>? Sono prodotti in Italia?</w:t>
      </w:r>
      <w:r w:rsidR="00C96939">
        <w:rPr>
          <w:rFonts w:eastAsia="Times New Roman"/>
        </w:rPr>
        <w:t xml:space="preserve"> La risposta è: </w:t>
      </w:r>
      <w:r>
        <w:rPr>
          <w:rFonts w:eastAsia="Times New Roman"/>
        </w:rPr>
        <w:t>NO! L’eccesso di domanda prevedibile ci esporrà</w:t>
      </w:r>
      <w:r w:rsidR="00C96939">
        <w:rPr>
          <w:rFonts w:eastAsia="Times New Roman"/>
        </w:rPr>
        <w:t>, allora,</w:t>
      </w:r>
      <w:r>
        <w:rPr>
          <w:rFonts w:eastAsia="Times New Roman"/>
        </w:rPr>
        <w:t xml:space="preserve"> alla penuria (tardive o mancate consegne) e farà lievitare il prezzo. L’assenza di una tecnologia nostrana esporrà </w:t>
      </w:r>
      <w:r w:rsidR="00B53E5B">
        <w:rPr>
          <w:rFonts w:eastAsia="Times New Roman"/>
        </w:rPr>
        <w:t>“</w:t>
      </w:r>
      <w:r>
        <w:rPr>
          <w:rFonts w:eastAsia="Times New Roman"/>
        </w:rPr>
        <w:t>PANTALONE</w:t>
      </w:r>
      <w:r w:rsidR="00B53E5B">
        <w:rPr>
          <w:rFonts w:eastAsia="Times New Roman"/>
        </w:rPr>
        <w:t>”</w:t>
      </w:r>
      <w:r>
        <w:rPr>
          <w:rFonts w:eastAsia="Times New Roman"/>
        </w:rPr>
        <w:t xml:space="preserve"> a intervenire, come al solito!</w:t>
      </w:r>
    </w:p>
    <w:p w14:paraId="54825CB3" w14:textId="77777777" w:rsidR="00C96939" w:rsidRDefault="00C96939" w:rsidP="00C12469">
      <w:pPr>
        <w:pStyle w:val="Paragrafoelenco"/>
        <w:ind w:left="360"/>
        <w:contextualSpacing/>
        <w:jc w:val="both"/>
        <w:rPr>
          <w:rFonts w:eastAsia="Times New Roman"/>
        </w:rPr>
      </w:pPr>
    </w:p>
    <w:p w14:paraId="282B2F92" w14:textId="77777777" w:rsidR="00C96939" w:rsidRPr="00C96939" w:rsidRDefault="00721726" w:rsidP="00C12469">
      <w:pPr>
        <w:pStyle w:val="Paragrafoelenco"/>
        <w:numPr>
          <w:ilvl w:val="0"/>
          <w:numId w:val="1"/>
        </w:numPr>
        <w:contextualSpacing/>
        <w:jc w:val="both"/>
        <w:rPr>
          <w:rFonts w:eastAsia="Times New Roman"/>
        </w:rPr>
      </w:pPr>
      <w:r>
        <w:rPr>
          <w:rFonts w:eastAsia="Times New Roman"/>
          <w:b/>
          <w:bCs/>
        </w:rPr>
        <w:t>TRASMISSIONE</w:t>
      </w:r>
      <w:r>
        <w:rPr>
          <w:rFonts w:eastAsia="Times New Roman"/>
        </w:rPr>
        <w:t xml:space="preserve">: </w:t>
      </w:r>
      <w:r w:rsidR="00C96939">
        <w:rPr>
          <w:rFonts w:eastAsia="Times New Roman"/>
        </w:rPr>
        <w:t>L</w:t>
      </w:r>
      <w:r>
        <w:rPr>
          <w:rFonts w:eastAsia="Times New Roman"/>
        </w:rPr>
        <w:t xml:space="preserve">a ridondanza e flessibilità di una rete nonché la sua operabilità in maniera remota, </w:t>
      </w:r>
      <w:r w:rsidR="00C96939">
        <w:rPr>
          <w:rFonts w:eastAsia="Times New Roman"/>
        </w:rPr>
        <w:t xml:space="preserve">sono </w:t>
      </w:r>
      <w:r>
        <w:rPr>
          <w:rFonts w:eastAsia="Times New Roman"/>
        </w:rPr>
        <w:t>tutti argomenti che implicano un piano e degli investimenti non indifferenti, quindi</w:t>
      </w:r>
      <w:r w:rsidR="00B53E5B">
        <w:rPr>
          <w:rFonts w:eastAsia="Times New Roman"/>
        </w:rPr>
        <w:t xml:space="preserve">: </w:t>
      </w:r>
      <w:r>
        <w:rPr>
          <w:rFonts w:eastAsia="Times New Roman"/>
        </w:rPr>
        <w:t>progettualità e risorse</w:t>
      </w:r>
      <w:r w:rsidR="00B53E5B">
        <w:rPr>
          <w:rFonts w:eastAsia="Times New Roman"/>
        </w:rPr>
        <w:t>;</w:t>
      </w:r>
      <w:r>
        <w:rPr>
          <w:rFonts w:eastAsia="Times New Roman"/>
        </w:rPr>
        <w:t xml:space="preserve"> per non parlare del fatto che le interconnessioni transfrontaliere favoriscono la delocalizzazione della produzione e il business dei traders e non </w:t>
      </w:r>
      <w:r w:rsidR="00B53E5B">
        <w:rPr>
          <w:rFonts w:eastAsia="Times New Roman"/>
        </w:rPr>
        <w:t xml:space="preserve">certo </w:t>
      </w:r>
      <w:r>
        <w:rPr>
          <w:rFonts w:eastAsia="Times New Roman"/>
        </w:rPr>
        <w:t>dei produttori che devono soggiacere al regime di concorrenza vigente in loco.</w:t>
      </w:r>
    </w:p>
    <w:p w14:paraId="1BCCC723" w14:textId="77777777" w:rsidR="00C96939" w:rsidRPr="00C96939" w:rsidRDefault="00C96939" w:rsidP="00C12469">
      <w:pPr>
        <w:pStyle w:val="Paragrafoelenco"/>
        <w:ind w:left="360"/>
        <w:jc w:val="both"/>
        <w:rPr>
          <w:rFonts w:eastAsia="Times New Roman"/>
        </w:rPr>
      </w:pPr>
    </w:p>
    <w:p w14:paraId="1A004E0D" w14:textId="77777777" w:rsidR="00721726" w:rsidRDefault="00721726" w:rsidP="00C12469">
      <w:pPr>
        <w:pStyle w:val="Paragrafoelenco"/>
        <w:numPr>
          <w:ilvl w:val="0"/>
          <w:numId w:val="1"/>
        </w:numPr>
        <w:jc w:val="both"/>
        <w:rPr>
          <w:rFonts w:eastAsia="Times New Roman"/>
        </w:rPr>
      </w:pPr>
      <w:r>
        <w:rPr>
          <w:rFonts w:eastAsia="Times New Roman"/>
          <w:b/>
          <w:bCs/>
        </w:rPr>
        <w:t>DISTRIBUZIONE</w:t>
      </w:r>
      <w:r>
        <w:rPr>
          <w:rFonts w:eastAsia="Times New Roman"/>
        </w:rPr>
        <w:t xml:space="preserve">: </w:t>
      </w:r>
      <w:r w:rsidR="00C96939">
        <w:rPr>
          <w:rFonts w:eastAsia="Times New Roman"/>
        </w:rPr>
        <w:t>L</w:t>
      </w:r>
      <w:r>
        <w:rPr>
          <w:rFonts w:eastAsia="Times New Roman"/>
        </w:rPr>
        <w:t>a misura telematica e la sua accessibilità agli utenti con possibilità di verifica</w:t>
      </w:r>
      <w:r w:rsidR="00C96939">
        <w:rPr>
          <w:rFonts w:eastAsia="Times New Roman"/>
        </w:rPr>
        <w:t xml:space="preserve"> funziona? Sembrerebbe, invece, </w:t>
      </w:r>
      <w:r>
        <w:rPr>
          <w:rFonts w:eastAsia="Times New Roman"/>
        </w:rPr>
        <w:t>sempre di più</w:t>
      </w:r>
      <w:r w:rsidR="00C96939">
        <w:rPr>
          <w:rFonts w:eastAsia="Times New Roman"/>
        </w:rPr>
        <w:t xml:space="preserve"> che </w:t>
      </w:r>
      <w:r>
        <w:rPr>
          <w:rFonts w:eastAsia="Times New Roman"/>
        </w:rPr>
        <w:t xml:space="preserve">questo elemento è </w:t>
      </w:r>
      <w:r w:rsidR="00B53E5B">
        <w:rPr>
          <w:rFonts w:eastAsia="Times New Roman"/>
        </w:rPr>
        <w:t xml:space="preserve">problematico e </w:t>
      </w:r>
      <w:r>
        <w:rPr>
          <w:rFonts w:eastAsia="Times New Roman"/>
        </w:rPr>
        <w:t>carente, specie sulla rete gas e si continua ad andare avanti con il sistema delle stime e conguagli nonostante il cambio dei contatori</w:t>
      </w:r>
      <w:r w:rsidR="00C96939">
        <w:rPr>
          <w:rFonts w:eastAsia="Times New Roman"/>
        </w:rPr>
        <w:t>. Inoltre</w:t>
      </w:r>
      <w:r w:rsidR="000129AF">
        <w:rPr>
          <w:rFonts w:eastAsia="Times New Roman"/>
        </w:rPr>
        <w:t>,</w:t>
      </w:r>
      <w:r w:rsidR="00C96939">
        <w:rPr>
          <w:rFonts w:eastAsia="Times New Roman"/>
        </w:rPr>
        <w:t xml:space="preserve"> i</w:t>
      </w:r>
      <w:r>
        <w:rPr>
          <w:rFonts w:eastAsia="Times New Roman"/>
        </w:rPr>
        <w:t>l conflitto tra tutele e libero mercato</w:t>
      </w:r>
      <w:r w:rsidR="000129AF" w:rsidRPr="000129AF">
        <w:rPr>
          <w:rFonts w:eastAsia="Times New Roman"/>
        </w:rPr>
        <w:t xml:space="preserve"> </w:t>
      </w:r>
      <w:r w:rsidR="000129AF">
        <w:rPr>
          <w:rFonts w:eastAsia="Times New Roman"/>
        </w:rPr>
        <w:t>è ancora esistente e il libero mercato non appare ben voluto dagli utenti. L</w:t>
      </w:r>
      <w:r>
        <w:rPr>
          <w:rFonts w:eastAsia="Times New Roman"/>
        </w:rPr>
        <w:t>a necessità di sofisticate e costose centraline di quartiere per consentire funzioni smart (</w:t>
      </w:r>
      <w:r w:rsidR="000129AF">
        <w:rPr>
          <w:rFonts w:eastAsia="Times New Roman"/>
        </w:rPr>
        <w:t xml:space="preserve">ossia </w:t>
      </w:r>
      <w:r>
        <w:rPr>
          <w:rFonts w:eastAsia="Times New Roman"/>
        </w:rPr>
        <w:t>flussi nei due sensi e supervisione-comando-controllo remoto)</w:t>
      </w:r>
      <w:r w:rsidR="000129AF">
        <w:rPr>
          <w:rFonts w:eastAsia="Times New Roman"/>
        </w:rPr>
        <w:t xml:space="preserve"> sembra si present</w:t>
      </w:r>
      <w:r w:rsidR="00B53E5B">
        <w:rPr>
          <w:rFonts w:eastAsia="Times New Roman"/>
        </w:rPr>
        <w:t>i</w:t>
      </w:r>
      <w:r w:rsidR="000129AF">
        <w:rPr>
          <w:rFonts w:eastAsia="Times New Roman"/>
        </w:rPr>
        <w:t xml:space="preserve"> ben più complessa e costosa del previsto</w:t>
      </w:r>
      <w:r>
        <w:rPr>
          <w:rFonts w:eastAsia="Times New Roman"/>
        </w:rPr>
        <w:t xml:space="preserve">. </w:t>
      </w:r>
      <w:r w:rsidR="00B53E5B">
        <w:rPr>
          <w:rFonts w:eastAsia="Times New Roman"/>
        </w:rPr>
        <w:t>Quasi t</w:t>
      </w:r>
      <w:r>
        <w:rPr>
          <w:rFonts w:eastAsia="Times New Roman"/>
        </w:rPr>
        <w:t>utta</w:t>
      </w:r>
      <w:r w:rsidR="00B53E5B">
        <w:rPr>
          <w:rFonts w:eastAsia="Times New Roman"/>
        </w:rPr>
        <w:t xml:space="preserve"> la</w:t>
      </w:r>
      <w:r>
        <w:rPr>
          <w:rFonts w:eastAsia="Times New Roman"/>
        </w:rPr>
        <w:t xml:space="preserve"> tecnologia </w:t>
      </w:r>
      <w:r w:rsidR="00B53E5B">
        <w:rPr>
          <w:rFonts w:eastAsia="Times New Roman"/>
        </w:rPr>
        <w:t>implicata</w:t>
      </w:r>
      <w:r>
        <w:rPr>
          <w:rFonts w:eastAsia="Times New Roman"/>
        </w:rPr>
        <w:t xml:space="preserve"> non è certo nostrana e c</w:t>
      </w:r>
      <w:r w:rsidR="00B53E5B">
        <w:rPr>
          <w:rFonts w:eastAsia="Times New Roman"/>
        </w:rPr>
        <w:t>iò</w:t>
      </w:r>
      <w:r>
        <w:rPr>
          <w:rFonts w:eastAsia="Times New Roman"/>
        </w:rPr>
        <w:t xml:space="preserve"> contribuisce ad uno sfavorevole differenziale sulla bilancia commerciale con l’estero.</w:t>
      </w:r>
    </w:p>
    <w:p w14:paraId="18BF1561" w14:textId="77777777" w:rsidR="000129AF" w:rsidRDefault="000129AF" w:rsidP="00C12469">
      <w:pPr>
        <w:pStyle w:val="Paragrafoelenco"/>
        <w:ind w:left="360"/>
        <w:jc w:val="both"/>
        <w:rPr>
          <w:rFonts w:eastAsia="Times New Roman"/>
        </w:rPr>
      </w:pPr>
    </w:p>
    <w:p w14:paraId="75A3D6BE" w14:textId="77777777" w:rsidR="00721726" w:rsidRDefault="00721726" w:rsidP="00C12469">
      <w:pPr>
        <w:pStyle w:val="Paragrafoelenco"/>
        <w:numPr>
          <w:ilvl w:val="0"/>
          <w:numId w:val="1"/>
        </w:numPr>
        <w:jc w:val="both"/>
        <w:rPr>
          <w:rFonts w:eastAsia="Times New Roman"/>
        </w:rPr>
      </w:pPr>
      <w:r>
        <w:rPr>
          <w:rFonts w:eastAsia="Times New Roman"/>
          <w:b/>
          <w:bCs/>
        </w:rPr>
        <w:t xml:space="preserve">REGOLAZIONE </w:t>
      </w:r>
      <w:proofErr w:type="gramStart"/>
      <w:r>
        <w:rPr>
          <w:rFonts w:eastAsia="Times New Roman"/>
          <w:b/>
          <w:bCs/>
        </w:rPr>
        <w:t>PRIMARIA</w:t>
      </w:r>
      <w:r>
        <w:rPr>
          <w:rFonts w:eastAsia="Times New Roman"/>
        </w:rPr>
        <w:t xml:space="preserve"> :</w:t>
      </w:r>
      <w:proofErr w:type="gramEnd"/>
      <w:r>
        <w:rPr>
          <w:rFonts w:eastAsia="Times New Roman"/>
        </w:rPr>
        <w:t xml:space="preserve"> </w:t>
      </w:r>
      <w:r w:rsidR="00B53E5B">
        <w:rPr>
          <w:rFonts w:eastAsia="Times New Roman"/>
        </w:rPr>
        <w:t>E’ richiesta l</w:t>
      </w:r>
      <w:r>
        <w:rPr>
          <w:rFonts w:eastAsia="Times New Roman"/>
        </w:rPr>
        <w:t xml:space="preserve">a necessità di </w:t>
      </w:r>
      <w:r w:rsidR="00B53E5B">
        <w:rPr>
          <w:rFonts w:eastAsia="Times New Roman"/>
        </w:rPr>
        <w:t xml:space="preserve">espandere la </w:t>
      </w:r>
      <w:r>
        <w:rPr>
          <w:rFonts w:eastAsia="Times New Roman"/>
        </w:rPr>
        <w:t>potenza di accumulo e sistemi remoti di regolazione</w:t>
      </w:r>
      <w:r w:rsidR="00B53E5B">
        <w:rPr>
          <w:rFonts w:eastAsia="Times New Roman"/>
        </w:rPr>
        <w:t>,</w:t>
      </w:r>
      <w:r>
        <w:rPr>
          <w:rFonts w:eastAsia="Times New Roman"/>
        </w:rPr>
        <w:t xml:space="preserve"> specie in congiunzione con energie rinnovabili (</w:t>
      </w:r>
      <w:r w:rsidR="000129AF">
        <w:rPr>
          <w:rFonts w:eastAsia="Times New Roman"/>
        </w:rPr>
        <w:t>particolarmente</w:t>
      </w:r>
      <w:r>
        <w:rPr>
          <w:rFonts w:eastAsia="Times New Roman"/>
        </w:rPr>
        <w:t xml:space="preserve"> eolico e fotovoltaico) che per definizione non hanno il pregio della continuità e della costanza nel tempo</w:t>
      </w:r>
      <w:r w:rsidR="00B53E5B">
        <w:rPr>
          <w:rFonts w:eastAsia="Times New Roman"/>
        </w:rPr>
        <w:t xml:space="preserve">. </w:t>
      </w:r>
      <w:r w:rsidR="000129AF">
        <w:rPr>
          <w:rFonts w:eastAsia="Times New Roman"/>
        </w:rPr>
        <w:t xml:space="preserve"> </w:t>
      </w:r>
      <w:r w:rsidR="00B53E5B">
        <w:rPr>
          <w:rFonts w:eastAsia="Times New Roman"/>
        </w:rPr>
        <w:t>C</w:t>
      </w:r>
      <w:r w:rsidR="000129AF">
        <w:rPr>
          <w:rFonts w:eastAsia="Times New Roman"/>
        </w:rPr>
        <w:t>hi e come fornisce</w:t>
      </w:r>
      <w:r w:rsidR="00B53E5B">
        <w:rPr>
          <w:rFonts w:eastAsia="Times New Roman"/>
        </w:rPr>
        <w:t xml:space="preserve"> tutto ciò?</w:t>
      </w:r>
    </w:p>
    <w:p w14:paraId="2972332E" w14:textId="77777777" w:rsidR="00CA463C" w:rsidRPr="00CA463C" w:rsidRDefault="00CA463C" w:rsidP="00C12469">
      <w:pPr>
        <w:pStyle w:val="Paragrafoelenco"/>
        <w:jc w:val="both"/>
        <w:rPr>
          <w:rFonts w:eastAsia="Times New Roman"/>
        </w:rPr>
      </w:pPr>
    </w:p>
    <w:p w14:paraId="1D2244CE" w14:textId="77777777" w:rsidR="00CA463C" w:rsidRPr="00C23F3E" w:rsidRDefault="00CA463C" w:rsidP="00C12469">
      <w:pPr>
        <w:pStyle w:val="Paragrafoelenco"/>
        <w:numPr>
          <w:ilvl w:val="0"/>
          <w:numId w:val="1"/>
        </w:numPr>
        <w:jc w:val="both"/>
        <w:rPr>
          <w:rFonts w:eastAsia="Times New Roman"/>
          <w:b/>
        </w:rPr>
      </w:pPr>
      <w:r w:rsidRPr="00C23F3E">
        <w:rPr>
          <w:rFonts w:eastAsia="Times New Roman"/>
          <w:b/>
        </w:rPr>
        <w:t>RICERCA DI SISTEMA:</w:t>
      </w:r>
      <w:r w:rsidRPr="00C23F3E">
        <w:rPr>
          <w:rFonts w:eastAsia="Times New Roman"/>
        </w:rPr>
        <w:t xml:space="preserve"> </w:t>
      </w:r>
      <w:r w:rsidR="00C23F3E">
        <w:rPr>
          <w:rFonts w:eastAsia="Times New Roman"/>
        </w:rPr>
        <w:t>Pagata in bolletta, è s</w:t>
      </w:r>
      <w:r w:rsidR="00C23F3E" w:rsidRPr="00C23F3E">
        <w:rPr>
          <w:rFonts w:eastAsia="Times New Roman"/>
        </w:rPr>
        <w:t xml:space="preserve">empre trascurata ed </w:t>
      </w:r>
      <w:proofErr w:type="gramStart"/>
      <w:r w:rsidR="00C23F3E" w:rsidRPr="00C23F3E">
        <w:rPr>
          <w:rFonts w:eastAsia="Times New Roman"/>
        </w:rPr>
        <w:t>esigua</w:t>
      </w:r>
      <w:r w:rsidR="00C23F3E">
        <w:rPr>
          <w:rFonts w:eastAsia="Times New Roman"/>
        </w:rPr>
        <w:t xml:space="preserve">, </w:t>
      </w:r>
      <w:r w:rsidR="00C23F3E" w:rsidRPr="00C23F3E">
        <w:rPr>
          <w:rFonts w:eastAsia="Times New Roman"/>
        </w:rPr>
        <w:t xml:space="preserve"> sebbene</w:t>
      </w:r>
      <w:proofErr w:type="gramEnd"/>
      <w:r w:rsidR="00C23F3E" w:rsidRPr="00C23F3E">
        <w:rPr>
          <w:rFonts w:eastAsia="Times New Roman"/>
        </w:rPr>
        <w:t xml:space="preserve"> gli esistenti stanziamenti </w:t>
      </w:r>
      <w:r w:rsidR="00C23F3E">
        <w:rPr>
          <w:rFonts w:eastAsia="Times New Roman"/>
        </w:rPr>
        <w:t xml:space="preserve">siano </w:t>
      </w:r>
      <w:r w:rsidR="00B53E5B">
        <w:rPr>
          <w:rFonts w:eastAsia="Times New Roman"/>
        </w:rPr>
        <w:t xml:space="preserve">sempre </w:t>
      </w:r>
      <w:r w:rsidR="00C23F3E" w:rsidRPr="00C23F3E">
        <w:rPr>
          <w:rFonts w:eastAsia="Times New Roman"/>
        </w:rPr>
        <w:t>disponibili</w:t>
      </w:r>
      <w:r w:rsidR="00C23F3E">
        <w:rPr>
          <w:rFonts w:eastAsia="Times New Roman"/>
        </w:rPr>
        <w:t>, ma</w:t>
      </w:r>
      <w:r w:rsidR="00C23F3E" w:rsidRPr="00C23F3E">
        <w:rPr>
          <w:rFonts w:eastAsia="Times New Roman"/>
        </w:rPr>
        <w:t xml:space="preserve"> per i quali non si giunge sino alla </w:t>
      </w:r>
      <w:r w:rsidR="00B53E5B">
        <w:rPr>
          <w:rFonts w:eastAsia="Times New Roman"/>
        </w:rPr>
        <w:t>saturazione</w:t>
      </w:r>
      <w:r w:rsidR="00C23F3E" w:rsidRPr="00C23F3E">
        <w:rPr>
          <w:rFonts w:eastAsia="Times New Roman"/>
        </w:rPr>
        <w:t xml:space="preserve"> per mancanza di progetti e proposte significativamente adeguate.</w:t>
      </w:r>
    </w:p>
    <w:p w14:paraId="46B64530" w14:textId="77777777" w:rsidR="00CA463C" w:rsidRDefault="00CA463C" w:rsidP="00C12469">
      <w:pPr>
        <w:contextualSpacing/>
        <w:jc w:val="both"/>
        <w:rPr>
          <w:rFonts w:ascii="Calibri" w:hAnsi="Calibri" w:cs="Calibri"/>
        </w:rPr>
      </w:pPr>
    </w:p>
    <w:p w14:paraId="59891EAC" w14:textId="77777777" w:rsidR="00721726" w:rsidRDefault="00721726" w:rsidP="00C12469">
      <w:pPr>
        <w:contextualSpacing/>
        <w:jc w:val="both"/>
        <w:rPr>
          <w:rFonts w:ascii="Calibri" w:eastAsiaTheme="minorEastAsia" w:hAnsi="Calibri" w:cs="Calibri"/>
        </w:rPr>
      </w:pPr>
      <w:r>
        <w:rPr>
          <w:rFonts w:ascii="Calibri" w:hAnsi="Calibri" w:cs="Calibri"/>
        </w:rPr>
        <w:t xml:space="preserve">Tutto questo in un contesto in cui entro il </w:t>
      </w:r>
      <w:proofErr w:type="gramStart"/>
      <w:r>
        <w:rPr>
          <w:rFonts w:ascii="Calibri" w:hAnsi="Calibri" w:cs="Calibri"/>
        </w:rPr>
        <w:t>2030 :</w:t>
      </w:r>
      <w:proofErr w:type="gramEnd"/>
    </w:p>
    <w:p w14:paraId="7C6A9D53" w14:textId="77777777" w:rsidR="00721726" w:rsidRDefault="00721726" w:rsidP="00C12469">
      <w:pPr>
        <w:pStyle w:val="Paragrafoelenco"/>
        <w:numPr>
          <w:ilvl w:val="0"/>
          <w:numId w:val="1"/>
        </w:numPr>
        <w:contextualSpacing/>
        <w:jc w:val="both"/>
        <w:rPr>
          <w:rFonts w:eastAsia="Times New Roman"/>
        </w:rPr>
      </w:pPr>
      <w:r>
        <w:rPr>
          <w:rFonts w:eastAsia="Times New Roman"/>
        </w:rPr>
        <w:t>dovremo decarbonizzare</w:t>
      </w:r>
      <w:r w:rsidR="0011646D">
        <w:rPr>
          <w:rFonts w:eastAsia="Times New Roman"/>
        </w:rPr>
        <w:t xml:space="preserve"> progressivamente (noi </w:t>
      </w:r>
      <w:r>
        <w:rPr>
          <w:rFonts w:eastAsia="Times New Roman"/>
        </w:rPr>
        <w:t>fortemente entro il 2025</w:t>
      </w:r>
      <w:r w:rsidR="0011646D">
        <w:rPr>
          <w:rFonts w:eastAsia="Times New Roman"/>
        </w:rPr>
        <w:t xml:space="preserve">, </w:t>
      </w:r>
      <w:r>
        <w:rPr>
          <w:rFonts w:eastAsia="Times New Roman"/>
        </w:rPr>
        <w:t>mentre</w:t>
      </w:r>
      <w:r w:rsidR="00CA463C">
        <w:rPr>
          <w:rFonts w:eastAsia="Times New Roman"/>
        </w:rPr>
        <w:t xml:space="preserve"> la</w:t>
      </w:r>
      <w:r>
        <w:rPr>
          <w:rFonts w:eastAsia="Times New Roman"/>
        </w:rPr>
        <w:t xml:space="preserve"> Germania </w:t>
      </w:r>
      <w:r w:rsidR="0011646D">
        <w:rPr>
          <w:rFonts w:eastAsia="Times New Roman"/>
        </w:rPr>
        <w:t>entro i</w:t>
      </w:r>
      <w:r>
        <w:rPr>
          <w:rFonts w:eastAsia="Times New Roman"/>
        </w:rPr>
        <w:t xml:space="preserve">l 2038) e </w:t>
      </w:r>
      <w:r w:rsidR="0011646D">
        <w:rPr>
          <w:rFonts w:eastAsia="Times New Roman"/>
        </w:rPr>
        <w:t xml:space="preserve">tutti </w:t>
      </w:r>
      <w:r>
        <w:rPr>
          <w:rFonts w:eastAsia="Times New Roman"/>
        </w:rPr>
        <w:t>definitivamente entro il 2050 come da PNIEC</w:t>
      </w:r>
      <w:r w:rsidR="00CA463C">
        <w:rPr>
          <w:rFonts w:eastAsia="Times New Roman"/>
        </w:rPr>
        <w:t xml:space="preserve"> e </w:t>
      </w:r>
      <w:r w:rsidR="00CA463C" w:rsidRPr="00CA463C">
        <w:rPr>
          <w:rFonts w:eastAsia="Times New Roman"/>
          <w:i/>
        </w:rPr>
        <w:t>Road Map 2050</w:t>
      </w:r>
      <w:r w:rsidR="00CA463C">
        <w:rPr>
          <w:rFonts w:eastAsia="Times New Roman"/>
        </w:rPr>
        <w:t xml:space="preserve"> della UE</w:t>
      </w:r>
      <w:r>
        <w:rPr>
          <w:rFonts w:eastAsia="Times New Roman"/>
        </w:rPr>
        <w:t>;</w:t>
      </w:r>
    </w:p>
    <w:p w14:paraId="21226820" w14:textId="77777777" w:rsidR="00721726" w:rsidRDefault="00721726" w:rsidP="00C12469">
      <w:pPr>
        <w:pStyle w:val="Paragrafoelenco"/>
        <w:numPr>
          <w:ilvl w:val="0"/>
          <w:numId w:val="1"/>
        </w:numPr>
        <w:contextualSpacing/>
        <w:jc w:val="both"/>
        <w:rPr>
          <w:rFonts w:eastAsia="Times New Roman"/>
        </w:rPr>
      </w:pPr>
      <w:r>
        <w:rPr>
          <w:rFonts w:eastAsia="Times New Roman"/>
        </w:rPr>
        <w:t>chiudere e smantellare impianti policombustibili non ancora ammortizzati e comprare (sostanzialmente all’estero) 10 GW di eolico, 25 GW di fotovoltaico (che in termini di producibilità annua equivalgono rispettivamente a 3 GW e 8 GW di base-</w:t>
      </w:r>
      <w:proofErr w:type="spellStart"/>
      <w:r>
        <w:rPr>
          <w:rFonts w:eastAsia="Times New Roman"/>
        </w:rPr>
        <w:t>load</w:t>
      </w:r>
      <w:proofErr w:type="spellEnd"/>
      <w:r>
        <w:rPr>
          <w:rFonts w:eastAsia="Times New Roman"/>
        </w:rPr>
        <w:t>;</w:t>
      </w:r>
    </w:p>
    <w:p w14:paraId="4001478D" w14:textId="77777777" w:rsidR="00721726" w:rsidRDefault="0011646D" w:rsidP="00C12469">
      <w:pPr>
        <w:pStyle w:val="Paragrafoelenco"/>
        <w:numPr>
          <w:ilvl w:val="0"/>
          <w:numId w:val="1"/>
        </w:numPr>
        <w:contextualSpacing/>
        <w:jc w:val="both"/>
        <w:rPr>
          <w:rFonts w:eastAsia="Times New Roman"/>
        </w:rPr>
      </w:pPr>
      <w:r>
        <w:rPr>
          <w:rFonts w:eastAsia="Times New Roman"/>
        </w:rPr>
        <w:t xml:space="preserve">dovremo </w:t>
      </w:r>
      <w:r w:rsidR="00721726">
        <w:rPr>
          <w:rFonts w:eastAsia="Times New Roman"/>
        </w:rPr>
        <w:t>continuare</w:t>
      </w:r>
      <w:r w:rsidR="00B53E5B">
        <w:rPr>
          <w:rFonts w:eastAsia="Times New Roman"/>
        </w:rPr>
        <w:t>, in ogni caso,</w:t>
      </w:r>
      <w:r w:rsidR="00721726">
        <w:rPr>
          <w:rFonts w:eastAsia="Times New Roman"/>
        </w:rPr>
        <w:t xml:space="preserve"> a importare energia dall’estero di fonte nucleare.</w:t>
      </w:r>
    </w:p>
    <w:p w14:paraId="0C22C158" w14:textId="77777777" w:rsidR="00CA463C" w:rsidRDefault="00CA463C" w:rsidP="00CA463C">
      <w:pPr>
        <w:contextualSpacing/>
        <w:jc w:val="both"/>
      </w:pPr>
    </w:p>
    <w:p w14:paraId="2C600DA2" w14:textId="77777777" w:rsidR="00483A4B" w:rsidRDefault="00D55F52" w:rsidP="00CA463C">
      <w:pPr>
        <w:contextualSpacing/>
        <w:jc w:val="both"/>
      </w:pPr>
      <w:r>
        <w:t>Se andiamo ad analizzare i “</w:t>
      </w:r>
      <w:r w:rsidR="00432553" w:rsidRPr="00432553">
        <w:t>Prezzi Finali</w:t>
      </w:r>
      <w:r>
        <w:t xml:space="preserve"> </w:t>
      </w:r>
      <w:proofErr w:type="gramStart"/>
      <w:r>
        <w:t>dell’</w:t>
      </w:r>
      <w:r w:rsidR="00432553" w:rsidRPr="00432553">
        <w:t xml:space="preserve"> Energia</w:t>
      </w:r>
      <w:proofErr w:type="gramEnd"/>
      <w:r w:rsidR="00432553" w:rsidRPr="00432553">
        <w:t xml:space="preserve"> Elettrica per Consumatori Industrial</w:t>
      </w:r>
      <w:r>
        <w:t>i e</w:t>
      </w:r>
      <w:r w:rsidR="00432553" w:rsidRPr="00432553">
        <w:t xml:space="preserve"> per Fasce di Consumo (Rapporto </w:t>
      </w:r>
      <w:proofErr w:type="spellStart"/>
      <w:r w:rsidR="00432553" w:rsidRPr="00432553">
        <w:t>Federmanager</w:t>
      </w:r>
      <w:proofErr w:type="spellEnd"/>
      <w:r w:rsidR="00432553" w:rsidRPr="00432553">
        <w:t xml:space="preserve"> 2019</w:t>
      </w:r>
      <w:r>
        <w:t>)” notiamo non solo che l’energia elettrica in Italia è tra le più care in Europa, ma è anche tanto più cara per i piccoli consumatori e PMI che sembrano svolgere un’azione di sussidiarietà nei confronti del più basso prezzo delle più grandi utenze industriali, che certo non sono in condizioni ottimali per competere in una economia globalizzata.</w:t>
      </w:r>
    </w:p>
    <w:p w14:paraId="7BF7D052" w14:textId="77777777" w:rsidR="00CA463C" w:rsidRDefault="00CA463C" w:rsidP="00CA463C">
      <w:pPr>
        <w:contextualSpacing/>
        <w:jc w:val="both"/>
      </w:pPr>
    </w:p>
    <w:p w14:paraId="6CFFDD23" w14:textId="77777777" w:rsidR="00CA463C" w:rsidRDefault="00CA463C" w:rsidP="00CA463C">
      <w:pPr>
        <w:contextualSpacing/>
        <w:jc w:val="both"/>
      </w:pPr>
      <w:r>
        <w:t>Gli esperti di Confindustria Energia ci rammentano che:</w:t>
      </w:r>
    </w:p>
    <w:p w14:paraId="2ED37197" w14:textId="77777777" w:rsidR="00CA463C" w:rsidRPr="00CA463C" w:rsidRDefault="00CA463C" w:rsidP="00CA463C">
      <w:pPr>
        <w:pStyle w:val="Paragrafoelenco"/>
        <w:numPr>
          <w:ilvl w:val="0"/>
          <w:numId w:val="3"/>
        </w:numPr>
        <w:contextualSpacing/>
        <w:jc w:val="both"/>
      </w:pPr>
      <w:r>
        <w:t>l</w:t>
      </w:r>
      <w:r w:rsidRPr="00CA463C">
        <w:t xml:space="preserve">e incertezze geopolitiche </w:t>
      </w:r>
      <w:r>
        <w:t>in un</w:t>
      </w:r>
      <w:r w:rsidRPr="00CA463C">
        <w:t xml:space="preserve"> Paese dove più del 75% dell’energia consumata viene importata, la questione della </w:t>
      </w:r>
      <w:r w:rsidRPr="0057714F">
        <w:rPr>
          <w:b/>
          <w:u w:val="single"/>
        </w:rPr>
        <w:t>sicurezza energetica</w:t>
      </w:r>
      <w:r w:rsidRPr="00CA463C">
        <w:t xml:space="preserve"> e la certezza delle forniture sono una cosa tremendamente seria</w:t>
      </w:r>
      <w:r>
        <w:t>;</w:t>
      </w:r>
    </w:p>
    <w:p w14:paraId="00B97AA9" w14:textId="77777777" w:rsidR="00CA463C" w:rsidRPr="00CA463C" w:rsidRDefault="00CA463C" w:rsidP="00CA463C">
      <w:pPr>
        <w:pStyle w:val="Paragrafoelenco"/>
        <w:numPr>
          <w:ilvl w:val="0"/>
          <w:numId w:val="3"/>
        </w:numPr>
        <w:contextualSpacing/>
        <w:jc w:val="both"/>
      </w:pPr>
      <w:r w:rsidRPr="00CA463C">
        <w:t>il nostro Paese, grazie alla sua posizione baricentrica nel Mediterraneo, può giocare un ruolo chiave per l’</w:t>
      </w:r>
      <w:r w:rsidRPr="0057714F">
        <w:rPr>
          <w:b/>
          <w:u w:val="single"/>
        </w:rPr>
        <w:t xml:space="preserve">integrazione energetica </w:t>
      </w:r>
      <w:r w:rsidRPr="00CA463C">
        <w:t>tra i Paesi che vi si affacciano</w:t>
      </w:r>
      <w:r>
        <w:t>;</w:t>
      </w:r>
    </w:p>
    <w:p w14:paraId="66A35FD6" w14:textId="77777777" w:rsidR="00CA463C" w:rsidRPr="00CA463C" w:rsidRDefault="00CA463C" w:rsidP="00CA463C">
      <w:pPr>
        <w:pStyle w:val="Paragrafoelenco"/>
        <w:numPr>
          <w:ilvl w:val="0"/>
          <w:numId w:val="3"/>
        </w:numPr>
        <w:contextualSpacing/>
        <w:jc w:val="both"/>
      </w:pPr>
      <w:r w:rsidRPr="00CA463C">
        <w:t xml:space="preserve">contare su una rete di approvvigionamenti diversificata e al contempo su </w:t>
      </w:r>
      <w:r w:rsidRPr="0057714F">
        <w:rPr>
          <w:b/>
          <w:u w:val="single"/>
        </w:rPr>
        <w:t>asset produttivi nazionali</w:t>
      </w:r>
      <w:r w:rsidRPr="00CA463C">
        <w:t xml:space="preserve"> ci rende meno vulnerabili all’esterno, con sensibili risparmi anche sul costo dell’energia</w:t>
      </w:r>
      <w:r>
        <w:t>;</w:t>
      </w:r>
    </w:p>
    <w:p w14:paraId="24A088A9" w14:textId="77777777" w:rsidR="00CA463C" w:rsidRPr="00CA463C" w:rsidRDefault="00CA463C" w:rsidP="00CA463C">
      <w:pPr>
        <w:pStyle w:val="Paragrafoelenco"/>
        <w:numPr>
          <w:ilvl w:val="0"/>
          <w:numId w:val="3"/>
        </w:numPr>
        <w:contextualSpacing/>
        <w:jc w:val="both"/>
      </w:pPr>
      <w:r w:rsidRPr="00CA463C">
        <w:t xml:space="preserve">la crescente presenza di fonti energetiche discontinue necessita la crescita in contemporanea di una </w:t>
      </w:r>
      <w:r w:rsidRPr="0057714F">
        <w:rPr>
          <w:b/>
          <w:u w:val="single"/>
        </w:rPr>
        <w:t>capacità di compensazione, sia in termini di produzione che di accumulo</w:t>
      </w:r>
      <w:r>
        <w:t>;</w:t>
      </w:r>
    </w:p>
    <w:p w14:paraId="3DA77A43" w14:textId="77777777" w:rsidR="00CA463C" w:rsidRDefault="00CA463C" w:rsidP="00CA463C">
      <w:pPr>
        <w:pStyle w:val="Paragrafoelenco"/>
        <w:numPr>
          <w:ilvl w:val="0"/>
          <w:numId w:val="3"/>
        </w:numPr>
        <w:contextualSpacing/>
        <w:jc w:val="both"/>
      </w:pPr>
      <w:r>
        <w:t xml:space="preserve">la </w:t>
      </w:r>
      <w:r w:rsidRPr="0057714F">
        <w:rPr>
          <w:b/>
          <w:u w:val="single"/>
        </w:rPr>
        <w:t>semplificazione degli iter autorizzativi e la certezza del contesto normativo</w:t>
      </w:r>
      <w:r w:rsidRPr="00CA463C">
        <w:t xml:space="preserve"> </w:t>
      </w:r>
      <w:r>
        <w:t xml:space="preserve">devono essere i </w:t>
      </w:r>
      <w:r w:rsidRPr="00CA463C">
        <w:t>nuovi strumenti di mediazione con i territori</w:t>
      </w:r>
      <w:r>
        <w:t>.</w:t>
      </w:r>
    </w:p>
    <w:p w14:paraId="5D0A1F06" w14:textId="77777777" w:rsidR="00CA463C" w:rsidRDefault="00CA463C" w:rsidP="00C12469">
      <w:pPr>
        <w:contextualSpacing/>
        <w:jc w:val="both"/>
      </w:pPr>
    </w:p>
    <w:p w14:paraId="68551C58" w14:textId="77777777" w:rsidR="005503EF" w:rsidRDefault="00CA463C" w:rsidP="00C12469">
      <w:pPr>
        <w:contextualSpacing/>
        <w:jc w:val="both"/>
      </w:pPr>
      <w:r>
        <w:t>Infine, n</w:t>
      </w:r>
      <w:r w:rsidR="00A83A80" w:rsidRPr="00A83A80">
        <w:t xml:space="preserve">on </w:t>
      </w:r>
      <w:r w:rsidR="00A83A80">
        <w:t xml:space="preserve">bisogna </w:t>
      </w:r>
      <w:r w:rsidR="00A83A80" w:rsidRPr="00A83A80">
        <w:t>dimenticare</w:t>
      </w:r>
      <w:r w:rsidR="00A83A80">
        <w:t>, tanto più in un contesto di SMART ENERGY</w:t>
      </w:r>
      <w:r w:rsidR="00A83A80" w:rsidRPr="00A83A80">
        <w:t xml:space="preserve"> </w:t>
      </w:r>
      <w:r w:rsidR="00A83A80">
        <w:t xml:space="preserve">e CYBER SECURITY, </w:t>
      </w:r>
      <w:r w:rsidR="00A83A80" w:rsidRPr="00A83A80">
        <w:t xml:space="preserve">che </w:t>
      </w:r>
      <w:r w:rsidR="00A83A80">
        <w:t xml:space="preserve">la </w:t>
      </w:r>
      <w:r w:rsidR="00A83A80" w:rsidRPr="00A83A80">
        <w:t>tecnologia che possediamo in casa</w:t>
      </w:r>
      <w:r w:rsidR="00FB11FB">
        <w:t>, salvo pochi esempi -</w:t>
      </w:r>
      <w:r w:rsidR="00A83A80">
        <w:t xml:space="preserve"> è</w:t>
      </w:r>
      <w:r w:rsidR="00A83A80" w:rsidRPr="00A83A80">
        <w:t xml:space="preserve"> solo quella di profilo più basso e servirebbe una seria opera di </w:t>
      </w:r>
      <w:r>
        <w:t>“</w:t>
      </w:r>
      <w:r w:rsidR="00A83A80" w:rsidRPr="00A83A80">
        <w:t>ricostruzione industriale</w:t>
      </w:r>
      <w:r>
        <w:t>”</w:t>
      </w:r>
      <w:r w:rsidR="00A83A80" w:rsidRPr="00A83A80">
        <w:t xml:space="preserve"> prima di affrontare la cosiddetta TRANSIZIONE ENERGETICA</w:t>
      </w:r>
      <w:r>
        <w:t>,</w:t>
      </w:r>
      <w:r w:rsidR="00A83A80" w:rsidRPr="00A83A80">
        <w:t xml:space="preserve"> cui soggiace il PNIEC che a breve diverrà esecutivo dopo approvazione </w:t>
      </w:r>
      <w:r>
        <w:t xml:space="preserve">della </w:t>
      </w:r>
      <w:r w:rsidR="00A83A80" w:rsidRPr="00A83A80">
        <w:t>UE</w:t>
      </w:r>
      <w:r w:rsidR="00A83A80">
        <w:t>.</w:t>
      </w:r>
    </w:p>
    <w:p w14:paraId="242D3CC7" w14:textId="77777777" w:rsidR="009D3998" w:rsidRDefault="009D3998" w:rsidP="00C12469">
      <w:pPr>
        <w:contextualSpacing/>
        <w:jc w:val="both"/>
      </w:pPr>
    </w:p>
    <w:p w14:paraId="76816BD7" w14:textId="77777777" w:rsidR="009D3998" w:rsidRDefault="009D3998" w:rsidP="00C12469">
      <w:pPr>
        <w:contextualSpacing/>
        <w:jc w:val="both"/>
      </w:pPr>
      <w:r>
        <w:t xml:space="preserve">Non è solo una sensazione quella che traiamo da tutti questi aspetti, ma il ragionevole convincimento che dinanzi agli utenti del servizio elettrico, aldilà dei miglioramenti dovuti all’adozione della tecnologia informatica e della digitalizzazione, si prospetta una stagione inusitata di incremento di oneri, procedure e pratiche con riflessi su prezzi già alti rispetto alla media europea. </w:t>
      </w:r>
    </w:p>
    <w:p w14:paraId="5E13173B" w14:textId="77777777" w:rsidR="009D3998" w:rsidRDefault="009D3998" w:rsidP="00CA463C">
      <w:pPr>
        <w:contextualSpacing/>
      </w:pPr>
    </w:p>
    <w:p w14:paraId="1D6F23A7" w14:textId="77777777" w:rsidR="001F0B0A" w:rsidRDefault="009D3998" w:rsidP="00CA463C">
      <w:pPr>
        <w:contextualSpacing/>
      </w:pPr>
      <w:r>
        <w:t>Un dovere di informazione e di discussione pubblica, pertanto, ci ha mosso e ci muove in questo incontro.</w:t>
      </w:r>
    </w:p>
    <w:p w14:paraId="4BB782C0" w14:textId="77777777" w:rsidR="001F0B0A" w:rsidRDefault="001F0B0A" w:rsidP="00CA463C">
      <w:pPr>
        <w:contextualSpacing/>
      </w:pPr>
    </w:p>
    <w:sectPr w:rsidR="001F0B0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C892" w14:textId="77777777" w:rsidR="00A613B6" w:rsidRDefault="00A613B6" w:rsidP="00177382">
      <w:pPr>
        <w:spacing w:after="0" w:line="240" w:lineRule="auto"/>
      </w:pPr>
      <w:r>
        <w:separator/>
      </w:r>
    </w:p>
  </w:endnote>
  <w:endnote w:type="continuationSeparator" w:id="0">
    <w:p w14:paraId="4CA6C832" w14:textId="77777777" w:rsidR="00A613B6" w:rsidRDefault="00A613B6" w:rsidP="0017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487B" w14:textId="77777777" w:rsidR="00177382" w:rsidRPr="00177382" w:rsidRDefault="00177382" w:rsidP="00177382">
    <w:pPr>
      <w:contextualSpacing/>
      <w:rPr>
        <w:i/>
        <w:color w:val="0070C0"/>
        <w:sz w:val="18"/>
      </w:rPr>
    </w:pPr>
    <w:r w:rsidRPr="00177382">
      <w:rPr>
        <w:i/>
        <w:color w:val="0070C0"/>
        <w:sz w:val="18"/>
      </w:rPr>
      <w:t>Comitato Scientifico dell’Associazione Ambiente e Società - R. Morelli</w:t>
    </w:r>
  </w:p>
  <w:p w14:paraId="4B2F4C42" w14:textId="77777777" w:rsidR="00177382" w:rsidRDefault="001773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D827" w14:textId="77777777" w:rsidR="00A613B6" w:rsidRDefault="00A613B6" w:rsidP="00177382">
      <w:pPr>
        <w:spacing w:after="0" w:line="240" w:lineRule="auto"/>
      </w:pPr>
      <w:r>
        <w:separator/>
      </w:r>
    </w:p>
  </w:footnote>
  <w:footnote w:type="continuationSeparator" w:id="0">
    <w:p w14:paraId="5B0B83A1" w14:textId="77777777" w:rsidR="00A613B6" w:rsidRDefault="00A613B6" w:rsidP="0017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8E66" w14:textId="77777777" w:rsidR="00FF336A" w:rsidRDefault="00177382" w:rsidP="00FF336A">
    <w:pPr>
      <w:rPr>
        <w:b/>
        <w:u w:val="single"/>
      </w:rPr>
    </w:pPr>
    <w:bookmarkStart w:id="6" w:name="_Hlk6494943"/>
    <w:r w:rsidRPr="00177382">
      <w:rPr>
        <w:b/>
        <w:i/>
        <w:color w:val="0070C0"/>
      </w:rPr>
      <w:t xml:space="preserve">http://www.associazioneambientesocieta </w:t>
    </w:r>
    <w:r w:rsidRPr="00177382">
      <w:rPr>
        <w:noProof/>
        <w:lang w:val="en-US"/>
      </w:rPr>
      <w:drawing>
        <wp:anchor distT="0" distB="0" distL="114300" distR="114300" simplePos="0" relativeHeight="251658240" behindDoc="0" locked="0" layoutInCell="1" allowOverlap="1" wp14:anchorId="282D7C28" wp14:editId="7400C772">
          <wp:simplePos x="0" y="0"/>
          <wp:positionH relativeFrom="column">
            <wp:posOffset>-342900</wp:posOffset>
          </wp:positionH>
          <wp:positionV relativeFrom="paragraph">
            <wp:posOffset>-200660</wp:posOffset>
          </wp:positionV>
          <wp:extent cx="560705" cy="5607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r w:rsidR="00FF336A">
      <w:rPr>
        <w:b/>
        <w:i/>
        <w:color w:val="0070C0"/>
      </w:rPr>
      <w:tab/>
    </w:r>
    <w:r w:rsidR="00FF336A">
      <w:rPr>
        <w:b/>
        <w:i/>
        <w:color w:val="0070C0"/>
      </w:rPr>
      <w:tab/>
    </w:r>
    <w:r w:rsidR="00FF336A">
      <w:rPr>
        <w:b/>
        <w:i/>
        <w:color w:val="0070C0"/>
      </w:rPr>
      <w:tab/>
    </w:r>
    <w:r w:rsidR="00FF336A">
      <w:rPr>
        <w:b/>
        <w:i/>
        <w:color w:val="0070C0"/>
      </w:rPr>
      <w:tab/>
    </w:r>
    <w:r w:rsidR="00FF336A">
      <w:rPr>
        <w:b/>
        <w:i/>
        <w:color w:val="0070C0"/>
      </w:rPr>
      <w:tab/>
    </w:r>
    <w:r w:rsidR="00FF336A">
      <w:rPr>
        <w:b/>
        <w:i/>
        <w:color w:val="0070C0"/>
      </w:rPr>
      <w:tab/>
      <w:t xml:space="preserve">        </w:t>
    </w:r>
  </w:p>
  <w:bookmarkEnd w:id="6"/>
  <w:p w14:paraId="6379C34F" w14:textId="77777777" w:rsidR="00177382" w:rsidRPr="00177382" w:rsidRDefault="001773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EEE"/>
    <w:multiLevelType w:val="hybridMultilevel"/>
    <w:tmpl w:val="B7061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6B68EE"/>
    <w:multiLevelType w:val="hybridMultilevel"/>
    <w:tmpl w:val="69820BE6"/>
    <w:lvl w:ilvl="0" w:tplc="FFFFFFFF">
      <w:numFmt w:val="bullet"/>
      <w:lvlText w:val="-"/>
      <w:lvlJc w:val="left"/>
      <w:pPr>
        <w:ind w:left="360" w:hanging="360"/>
      </w:pPr>
      <w:rPr>
        <w:rFonts w:ascii="Calibri" w:eastAsia="Times New Roman"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F7"/>
    <w:rsid w:val="000129AF"/>
    <w:rsid w:val="00083DFF"/>
    <w:rsid w:val="000B1310"/>
    <w:rsid w:val="0011646D"/>
    <w:rsid w:val="00177382"/>
    <w:rsid w:val="0018321B"/>
    <w:rsid w:val="00187CDD"/>
    <w:rsid w:val="001F0B0A"/>
    <w:rsid w:val="001F67AC"/>
    <w:rsid w:val="00211024"/>
    <w:rsid w:val="00273C32"/>
    <w:rsid w:val="00276CA8"/>
    <w:rsid w:val="003156F7"/>
    <w:rsid w:val="00395AA0"/>
    <w:rsid w:val="003B7A38"/>
    <w:rsid w:val="00432553"/>
    <w:rsid w:val="00432F8B"/>
    <w:rsid w:val="0044106B"/>
    <w:rsid w:val="00483A4B"/>
    <w:rsid w:val="005333F0"/>
    <w:rsid w:val="005503EF"/>
    <w:rsid w:val="0057714F"/>
    <w:rsid w:val="005E7E5F"/>
    <w:rsid w:val="00644D98"/>
    <w:rsid w:val="006551C8"/>
    <w:rsid w:val="006D1CC2"/>
    <w:rsid w:val="006E261D"/>
    <w:rsid w:val="00721726"/>
    <w:rsid w:val="007F72F9"/>
    <w:rsid w:val="008333C5"/>
    <w:rsid w:val="009217BD"/>
    <w:rsid w:val="0094122F"/>
    <w:rsid w:val="00974173"/>
    <w:rsid w:val="009D3998"/>
    <w:rsid w:val="009F5574"/>
    <w:rsid w:val="00A613B6"/>
    <w:rsid w:val="00A83A80"/>
    <w:rsid w:val="00B53E5B"/>
    <w:rsid w:val="00B85B06"/>
    <w:rsid w:val="00B91730"/>
    <w:rsid w:val="00C12469"/>
    <w:rsid w:val="00C23F3E"/>
    <w:rsid w:val="00C44FAA"/>
    <w:rsid w:val="00C96939"/>
    <w:rsid w:val="00CA463C"/>
    <w:rsid w:val="00D55F52"/>
    <w:rsid w:val="00D56685"/>
    <w:rsid w:val="00D852A3"/>
    <w:rsid w:val="00DC7ED3"/>
    <w:rsid w:val="00E601F4"/>
    <w:rsid w:val="00E72967"/>
    <w:rsid w:val="00FB11FB"/>
    <w:rsid w:val="00FB44E5"/>
    <w:rsid w:val="00FE012E"/>
    <w:rsid w:val="00FF3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54AC"/>
  <w15:chartTrackingRefBased/>
  <w15:docId w15:val="{A9330629-9557-4E2E-A3DE-169F5F63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726"/>
    <w:pPr>
      <w:spacing w:after="0" w:line="240" w:lineRule="auto"/>
      <w:ind w:left="720"/>
    </w:pPr>
    <w:rPr>
      <w:rFonts w:ascii="Calibri" w:eastAsiaTheme="minorEastAsia" w:hAnsi="Calibri" w:cs="Calibri"/>
      <w:lang w:eastAsia="it-IT"/>
    </w:rPr>
  </w:style>
  <w:style w:type="paragraph" w:styleId="Intestazione">
    <w:name w:val="header"/>
    <w:basedOn w:val="Normale"/>
    <w:link w:val="IntestazioneCarattere"/>
    <w:uiPriority w:val="99"/>
    <w:unhideWhenUsed/>
    <w:rsid w:val="001773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7382"/>
  </w:style>
  <w:style w:type="paragraph" w:styleId="Pidipagina">
    <w:name w:val="footer"/>
    <w:basedOn w:val="Normale"/>
    <w:link w:val="PidipaginaCarattere"/>
    <w:uiPriority w:val="99"/>
    <w:unhideWhenUsed/>
    <w:rsid w:val="001773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7382"/>
  </w:style>
  <w:style w:type="paragraph" w:styleId="Testofumetto">
    <w:name w:val="Balloon Text"/>
    <w:basedOn w:val="Normale"/>
    <w:link w:val="TestofumettoCarattere"/>
    <w:uiPriority w:val="99"/>
    <w:semiHidden/>
    <w:unhideWhenUsed/>
    <w:rsid w:val="001F67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Morelli</dc:creator>
  <cp:keywords/>
  <dc:description/>
  <cp:lastModifiedBy>Nunziante Cesaro Ottavio (GP ITALY)</cp:lastModifiedBy>
  <cp:revision>2</cp:revision>
  <cp:lastPrinted>2019-10-17T19:35:00Z</cp:lastPrinted>
  <dcterms:created xsi:type="dcterms:W3CDTF">2019-10-25T20:47:00Z</dcterms:created>
  <dcterms:modified xsi:type="dcterms:W3CDTF">2019-10-25T20:47:00Z</dcterms:modified>
</cp:coreProperties>
</file>